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微软简标宋" w:hAnsi="微软简标宋" w:eastAsia="微软简标宋" w:cs="微软简标宋"/>
          <w:bCs/>
          <w:color w:val="auto"/>
          <w:spacing w:val="0"/>
          <w:sz w:val="36"/>
          <w:szCs w:val="36"/>
          <w:lang w:eastAsia="zh-CN"/>
        </w:rPr>
      </w:pPr>
      <w:r>
        <w:rPr>
          <w:rFonts w:hint="eastAsia" w:ascii="微软简标宋" w:hAnsi="微软简标宋" w:eastAsia="微软简标宋" w:cs="微软简标宋"/>
          <w:bCs/>
          <w:color w:val="auto"/>
          <w:spacing w:val="0"/>
          <w:sz w:val="36"/>
          <w:szCs w:val="36"/>
        </w:rPr>
        <w:t>张湾区</w:t>
      </w:r>
      <w:r>
        <w:rPr>
          <w:rFonts w:hint="eastAsia" w:ascii="微软简标宋" w:hAnsi="微软简标宋" w:eastAsia="微软简标宋" w:cs="微软简标宋"/>
          <w:bCs/>
          <w:color w:val="auto"/>
          <w:spacing w:val="0"/>
          <w:sz w:val="36"/>
          <w:szCs w:val="36"/>
          <w:lang w:val="en-US" w:eastAsia="zh-CN"/>
        </w:rPr>
        <w:t>2023年</w:t>
      </w:r>
      <w:r>
        <w:rPr>
          <w:rFonts w:hint="eastAsia" w:ascii="微软简标宋" w:hAnsi="微软简标宋" w:eastAsia="微软简标宋" w:cs="微软简标宋"/>
          <w:bCs/>
          <w:color w:val="auto"/>
          <w:spacing w:val="0"/>
          <w:sz w:val="36"/>
          <w:szCs w:val="36"/>
          <w:lang w:eastAsia="zh-CN"/>
        </w:rPr>
        <w:t>引进</w:t>
      </w:r>
      <w:r>
        <w:rPr>
          <w:rFonts w:hint="eastAsia" w:ascii="微软简标宋" w:hAnsi="微软简标宋" w:eastAsia="微软简标宋" w:cs="微软简标宋"/>
          <w:bCs/>
          <w:color w:val="auto"/>
          <w:spacing w:val="0"/>
          <w:sz w:val="36"/>
          <w:szCs w:val="36"/>
        </w:rPr>
        <w:t>高层次和急需紧缺人才</w:t>
      </w:r>
      <w:r>
        <w:rPr>
          <w:rFonts w:hint="eastAsia" w:ascii="微软简标宋" w:hAnsi="微软简标宋" w:eastAsia="微软简标宋" w:cs="微软简标宋"/>
          <w:bCs/>
          <w:color w:val="auto"/>
          <w:spacing w:val="0"/>
          <w:sz w:val="36"/>
          <w:szCs w:val="36"/>
          <w:lang w:eastAsia="zh-CN"/>
        </w:rPr>
        <w:t>岗位及条件一览表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ascii="Times New Roman" w:hAnsi="Times New Roman" w:eastAsia="Arial Unicode MS"/>
          <w:bCs/>
          <w:color w:val="auto"/>
          <w:sz w:val="44"/>
          <w:szCs w:val="44"/>
        </w:rPr>
      </w:pPr>
    </w:p>
    <w:tbl>
      <w:tblPr>
        <w:tblStyle w:val="5"/>
        <w:tblW w:w="4991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1910"/>
        <w:gridCol w:w="2133"/>
        <w:gridCol w:w="2001"/>
        <w:gridCol w:w="4343"/>
        <w:gridCol w:w="1026"/>
        <w:gridCol w:w="1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Times New Roman" w:hAnsi="Times New Roman" w:eastAsia="黑体"/>
                <w:color w:val="auto"/>
                <w:sz w:val="22"/>
                <w:szCs w:val="22"/>
                <w:shd w:val="clear" w:color="auto" w:fill="auto"/>
              </w:rPr>
            </w:pPr>
            <w:r>
              <w:rPr>
                <w:rFonts w:ascii="Times New Roman" w:hAnsi="Times New Roman" w:eastAsia="黑体"/>
                <w:color w:val="auto"/>
                <w:sz w:val="22"/>
                <w:szCs w:val="22"/>
                <w:shd w:val="clear" w:color="auto" w:fill="auto"/>
              </w:rPr>
              <w:t>序号</w:t>
            </w:r>
          </w:p>
        </w:tc>
        <w:tc>
          <w:tcPr>
            <w:tcW w:w="7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Times New Roman" w:hAnsi="Times New Roman" w:eastAsia="黑体"/>
                <w:color w:val="auto"/>
                <w:sz w:val="22"/>
                <w:szCs w:val="22"/>
                <w:shd w:val="clear" w:color="auto" w:fill="auto"/>
              </w:rPr>
            </w:pPr>
            <w:r>
              <w:rPr>
                <w:rFonts w:ascii="Times New Roman" w:hAnsi="Times New Roman" w:eastAsia="黑体"/>
                <w:color w:val="auto"/>
                <w:sz w:val="22"/>
                <w:szCs w:val="22"/>
                <w:shd w:val="clear" w:color="auto" w:fill="auto"/>
              </w:rPr>
              <w:t>单位名称</w:t>
            </w:r>
          </w:p>
        </w:tc>
        <w:tc>
          <w:tcPr>
            <w:tcW w:w="8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Times New Roman" w:hAnsi="Times New Roman" w:eastAsia="黑体"/>
                <w:color w:val="auto"/>
                <w:sz w:val="22"/>
                <w:szCs w:val="22"/>
                <w:shd w:val="clear" w:color="auto" w:fill="auto"/>
              </w:rPr>
            </w:pPr>
            <w:r>
              <w:rPr>
                <w:rFonts w:ascii="Times New Roman" w:hAnsi="Times New Roman" w:eastAsia="黑体"/>
                <w:color w:val="auto"/>
                <w:sz w:val="22"/>
                <w:szCs w:val="22"/>
                <w:shd w:val="clear" w:color="auto" w:fill="auto"/>
              </w:rPr>
              <w:t>岗位名称</w:t>
            </w:r>
          </w:p>
        </w:tc>
        <w:tc>
          <w:tcPr>
            <w:tcW w:w="7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63" w:leftChars="-30" w:right="-63" w:rightChars="-30"/>
              <w:jc w:val="center"/>
              <w:rPr>
                <w:rFonts w:ascii="Times New Roman" w:hAnsi="Times New Roman" w:eastAsia="黑体" w:cs="Times New Roman"/>
                <w:color w:val="auto"/>
                <w:kern w:val="2"/>
                <w:sz w:val="22"/>
                <w:szCs w:val="22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auto"/>
                <w:sz w:val="22"/>
                <w:szCs w:val="22"/>
                <w:shd w:val="clear" w:color="auto" w:fill="auto"/>
              </w:rPr>
              <w:t>学</w:t>
            </w:r>
            <w:r>
              <w:rPr>
                <w:rFonts w:hint="eastAsia" w:ascii="Times New Roman" w:hAnsi="Times New Roman" w:eastAsia="黑体"/>
                <w:color w:val="auto"/>
                <w:sz w:val="22"/>
                <w:szCs w:val="22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黑体"/>
                <w:color w:val="auto"/>
                <w:sz w:val="22"/>
                <w:szCs w:val="22"/>
                <w:shd w:val="clear" w:color="auto" w:fill="auto"/>
              </w:rPr>
              <w:t>历</w:t>
            </w:r>
          </w:p>
        </w:tc>
        <w:tc>
          <w:tcPr>
            <w:tcW w:w="16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63" w:leftChars="-30" w:right="-63" w:rightChars="-30"/>
              <w:jc w:val="center"/>
              <w:rPr>
                <w:rFonts w:ascii="Times New Roman" w:hAnsi="Times New Roman" w:eastAsia="黑体"/>
                <w:color w:val="auto"/>
                <w:sz w:val="22"/>
                <w:szCs w:val="22"/>
                <w:shd w:val="clear" w:color="auto" w:fill="auto"/>
              </w:rPr>
            </w:pPr>
            <w:r>
              <w:rPr>
                <w:rFonts w:ascii="Times New Roman" w:hAnsi="Times New Roman" w:eastAsia="黑体"/>
                <w:color w:val="auto"/>
                <w:sz w:val="22"/>
                <w:szCs w:val="22"/>
                <w:shd w:val="clear" w:color="auto" w:fill="auto"/>
              </w:rPr>
              <w:t>专  业</w:t>
            </w:r>
          </w:p>
        </w:tc>
        <w:tc>
          <w:tcPr>
            <w:tcW w:w="39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Times New Roman" w:hAnsi="Times New Roman" w:eastAsia="黑体"/>
                <w:color w:val="auto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黑体"/>
                <w:color w:val="auto"/>
                <w:sz w:val="22"/>
                <w:szCs w:val="22"/>
                <w:shd w:val="clear" w:color="auto" w:fill="auto"/>
                <w:lang w:eastAsia="zh-CN"/>
              </w:rPr>
              <w:t>引进</w:t>
            </w:r>
            <w:r>
              <w:rPr>
                <w:rFonts w:ascii="Times New Roman" w:hAnsi="Times New Roman" w:eastAsia="黑体"/>
                <w:color w:val="auto"/>
                <w:sz w:val="22"/>
                <w:szCs w:val="22"/>
                <w:shd w:val="clear" w:color="auto" w:fill="auto"/>
              </w:rPr>
              <w:t>人数</w:t>
            </w:r>
          </w:p>
        </w:tc>
        <w:tc>
          <w:tcPr>
            <w:tcW w:w="39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Times New Roman" w:hAnsi="Times New Roman" w:eastAsia="黑体"/>
                <w:color w:val="auto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黑体"/>
                <w:color w:val="auto"/>
                <w:sz w:val="22"/>
                <w:szCs w:val="22"/>
                <w:shd w:val="clear" w:color="auto" w:fill="auto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9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73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eastAsia="zh-CN"/>
              </w:rPr>
              <w:t>张湾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</w:rPr>
              <w:t>区棚户区改造服务中心</w:t>
            </w:r>
          </w:p>
        </w:tc>
        <w:tc>
          <w:tcPr>
            <w:tcW w:w="8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工程管理综合岗</w:t>
            </w:r>
          </w:p>
        </w:tc>
        <w:tc>
          <w:tcPr>
            <w:tcW w:w="7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</w:rPr>
              <w:t>全日制硕士研究生</w:t>
            </w:r>
          </w:p>
        </w:tc>
        <w:tc>
          <w:tcPr>
            <w:tcW w:w="16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工程管理及相关专业</w:t>
            </w:r>
          </w:p>
        </w:tc>
        <w:tc>
          <w:tcPr>
            <w:tcW w:w="39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396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9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73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eastAsia="zh-CN"/>
              </w:rPr>
            </w:pPr>
          </w:p>
        </w:tc>
        <w:tc>
          <w:tcPr>
            <w:tcW w:w="8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</w:rPr>
              <w:t>工程造价综合岗</w:t>
            </w:r>
          </w:p>
        </w:tc>
        <w:tc>
          <w:tcPr>
            <w:tcW w:w="7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</w:rPr>
              <w:t>全日制硕士研究生</w:t>
            </w:r>
          </w:p>
        </w:tc>
        <w:tc>
          <w:tcPr>
            <w:tcW w:w="16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</w:rPr>
              <w:t>工程造价、工程审计及相关专业</w:t>
            </w:r>
          </w:p>
        </w:tc>
        <w:tc>
          <w:tcPr>
            <w:tcW w:w="39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396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9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73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张湾区财政投资评审中心</w:t>
            </w:r>
          </w:p>
        </w:tc>
        <w:tc>
          <w:tcPr>
            <w:tcW w:w="8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投融资管理综合岗</w:t>
            </w:r>
          </w:p>
        </w:tc>
        <w:tc>
          <w:tcPr>
            <w:tcW w:w="7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</w:rPr>
              <w:t>全日制硕士研究生</w:t>
            </w:r>
          </w:p>
        </w:tc>
        <w:tc>
          <w:tcPr>
            <w:tcW w:w="16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财务金融类相关专业</w:t>
            </w:r>
          </w:p>
        </w:tc>
        <w:tc>
          <w:tcPr>
            <w:tcW w:w="39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396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9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73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82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预算管理综合岗</w:t>
            </w:r>
          </w:p>
        </w:tc>
        <w:tc>
          <w:tcPr>
            <w:tcW w:w="7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</w:rPr>
              <w:t>全日制硕士研究生</w:t>
            </w:r>
          </w:p>
        </w:tc>
        <w:tc>
          <w:tcPr>
            <w:tcW w:w="16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数理统计及相关专业</w:t>
            </w:r>
          </w:p>
        </w:tc>
        <w:tc>
          <w:tcPr>
            <w:tcW w:w="39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396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shd w:val="clear" w:color="auto" w:fill="auto"/>
                <w:lang w:val="en-US" w:eastAsia="zh-CN"/>
              </w:rPr>
            </w:pPr>
          </w:p>
        </w:tc>
      </w:tr>
    </w:tbl>
    <w:p/>
    <w:sectPr>
      <w:footerReference r:id="rId3" w:type="default"/>
      <w:pgSz w:w="16838" w:h="11906" w:orient="landscape"/>
      <w:pgMar w:top="1531" w:right="2211" w:bottom="1531" w:left="187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3Nzg5ZmU1YjUzYjQ3ZTAxYzFkN2ZhM2QyOTUzMGIifQ=="/>
  </w:docVars>
  <w:rsids>
    <w:rsidRoot w:val="25DF7BF4"/>
    <w:rsid w:val="167263FE"/>
    <w:rsid w:val="25DF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/>
      <w:ind w:left="420" w:leftChars="200" w:firstLine="420" w:firstLineChars="200"/>
    </w:pPr>
    <w:rPr>
      <w:rFonts w:ascii="宋体" w:hAnsi="宋体"/>
      <w:color w:val="FF0000"/>
      <w:sz w:val="21"/>
      <w:lang w:val="en-US" w:bidi="ar-SA"/>
    </w:rPr>
  </w:style>
  <w:style w:type="paragraph" w:styleId="3">
    <w:name w:val="Body Text Indent"/>
    <w:basedOn w:val="1"/>
    <w:qFormat/>
    <w:uiPriority w:val="0"/>
    <w:pPr>
      <w:ind w:firstLine="709"/>
    </w:pPr>
    <w:rPr>
      <w:sz w:val="32"/>
      <w:lang w:val="hr-HR" w:bidi="ar-EG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182</Characters>
  <Lines>0</Lines>
  <Paragraphs>0</Paragraphs>
  <TotalTime>0</TotalTime>
  <ScaleCrop>false</ScaleCrop>
  <LinksUpToDate>false</LinksUpToDate>
  <CharactersWithSpaces>186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2023-06-20T08:26:00Z</dcterms:created>
  <dc:creator>梁蔚</dc:creator>
  <cp:lastModifiedBy>121953</cp:lastModifiedBy>
  <dcterms:modified xsi:type="dcterms:W3CDTF">2023-06-20T09:32:56Z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F6CB44778E7B4B809F4AE979605B1E9C_13</vt:lpwstr>
  </property>
</Properties>
</file>