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1"/>
          <w:szCs w:val="31"/>
          <w:lang w:val="en-US" w:eastAsia="zh-CN"/>
        </w:rPr>
        <w:t>附件2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44"/>
          <w:szCs w:val="44"/>
          <w:lang w:val="en-US" w:eastAsia="zh-CN"/>
        </w:rPr>
        <w:t>2023年磐安县国有企业工作人员公开招聘计划表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1623"/>
        <w:gridCol w:w="914"/>
        <w:gridCol w:w="818"/>
        <w:gridCol w:w="1241"/>
        <w:gridCol w:w="682"/>
        <w:gridCol w:w="2550"/>
        <w:gridCol w:w="832"/>
        <w:gridCol w:w="3599"/>
        <w:gridCol w:w="1391"/>
        <w:gridCol w:w="1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招聘职位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   要求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户籍要求</w:t>
            </w:r>
          </w:p>
        </w:tc>
        <w:tc>
          <w:tcPr>
            <w:tcW w:w="3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工作经历及其他要求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考卷类别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内审工作人员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女性要求40周岁及以下，男性要求45周岁及以下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会计学、会计、财务管理、财务会计与审计、审计学、财务会计教育、财政学、税务、税收学、金融学、工程审计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具有中级会计师、审计师、经济师（财政税务方向）及以上职称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财务工作人员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会计学、会计、财务管理、财务会计与审计、审计学、财务会计教育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具有3年及以上财务、审计等工作经验；具有中级会计师、审计师、经济师（财政税务方向）及以上职称的，女性年龄可放宽至40周岁以下，男性可放宽至45周岁以下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工程管理工作人员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土木类、水利类；工程管理、建设工程管理、工程造价、工程造价管理、工程审计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具有二级建造师、造价师等资格证书或工程师等相关专业中级及以上职称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办公室工作人员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具有2年以上工作经验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综合岗位人员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2年以上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工作经验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需长期派驻外省工作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投资管理工作人员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会计学、会计、财务管理、财务会计与审计、审计学、财务会计教育；经济学，金融学，投资学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3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具有2年以上工作经验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cs="Times New Roman"/>
                <w:highlight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lang w:val="en-US" w:eastAsia="zh-CN"/>
        </w:rPr>
        <w:sectPr>
          <w:pgSz w:w="16838" w:h="11906" w:orient="landscape"/>
          <w:pgMar w:top="720" w:right="720" w:bottom="720" w:left="72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3C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2023-02-07T08:27:46Z</dcterms:created>
  <dc:creator>PACZ503</dc:creator>
  <cp:lastModifiedBy>PACZ503</cp:lastModifiedBy>
  <dcterms:modified xsi:type="dcterms:W3CDTF">2023-02-07T08:28:05Z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